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7F" w:rsidRDefault="00304A7F" w:rsidP="00304A7F">
      <w:pPr>
        <w:bidi/>
        <w:spacing w:after="0"/>
        <w:ind w:left="-567" w:right="-567"/>
        <w:jc w:val="center"/>
        <w:rPr>
          <w:rFonts w:ascii="Sakkal Majalla" w:hAnsi="Sakkal Majalla" w:cs="Sultan bold" w:hint="cs"/>
          <w:sz w:val="36"/>
          <w:szCs w:val="36"/>
          <w:rtl/>
          <w:lang w:bidi="ar-DZ"/>
        </w:rPr>
      </w:pPr>
      <w:r w:rsidRPr="002452CD">
        <w:rPr>
          <w:rFonts w:ascii="Sakkal Majalla" w:hAnsi="Sakkal Majalla" w:cs="Sultan bold"/>
          <w:sz w:val="36"/>
          <w:szCs w:val="36"/>
          <w:rtl/>
          <w:lang w:bidi="ar-DZ"/>
        </w:rPr>
        <w:t>الجمهورية الجزائرية الديمقراطية الشعبية</w:t>
      </w:r>
    </w:p>
    <w:p w:rsidR="00304A7F" w:rsidRPr="0020454C" w:rsidRDefault="00304A7F" w:rsidP="00304A7F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People's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Democratic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Republic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Algeria</w:t>
      </w:r>
      <w:proofErr w:type="spellEnd"/>
    </w:p>
    <w:p w:rsidR="00304A7F" w:rsidRPr="00457F11" w:rsidRDefault="00304A7F" w:rsidP="00304A7F">
      <w:pPr>
        <w:bidi/>
        <w:spacing w:after="0" w:line="240" w:lineRule="auto"/>
        <w:ind w:left="-567" w:right="-567"/>
        <w:rPr>
          <w:rFonts w:cs="MCS Nask S_I normal."/>
          <w:b/>
          <w:bCs/>
        </w:rPr>
      </w:pPr>
      <w:proofErr w:type="gramStart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وزارة</w:t>
      </w:r>
      <w:proofErr w:type="gramEnd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 xml:space="preserve"> التعلي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م العال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ي والبح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ث العلم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    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</w:t>
      </w:r>
      <w:proofErr w:type="spellStart"/>
      <w:r w:rsidRPr="0020454C">
        <w:rPr>
          <w:rFonts w:asciiTheme="majorBidi" w:hAnsiTheme="majorBidi" w:cstheme="majorBidi"/>
          <w:b/>
          <w:bCs/>
        </w:rPr>
        <w:t>Ministry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</w:rPr>
        <w:t>Higher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Education and </w:t>
      </w:r>
      <w:proofErr w:type="spellStart"/>
      <w:r w:rsidRPr="0020454C">
        <w:rPr>
          <w:rFonts w:asciiTheme="majorBidi" w:hAnsiTheme="majorBidi" w:cstheme="majorBidi"/>
          <w:b/>
          <w:bCs/>
        </w:rPr>
        <w:t>Scientific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Research</w:t>
      </w:r>
      <w:proofErr w:type="spellEnd"/>
    </w:p>
    <w:p w:rsidR="00304A7F" w:rsidRPr="00457F11" w:rsidRDefault="00304A7F" w:rsidP="00304A7F">
      <w:pPr>
        <w:bidi/>
        <w:spacing w:after="0" w:line="240" w:lineRule="auto"/>
        <w:ind w:left="-567" w:right="-567"/>
        <w:textAlignment w:val="top"/>
        <w:rPr>
          <w:rFonts w:ascii="Imprint MT Shadow" w:hAnsi="Imprint MT Shadow"/>
        </w:rPr>
      </w:pPr>
      <w:r>
        <w:rPr>
          <w:rFonts w:ascii="Sakkal Majalla" w:hAnsi="Sakkal Majalla" w:cs="Sultan bold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68541EBD" wp14:editId="7E2C1724">
            <wp:simplePos x="0" y="0"/>
            <wp:positionH relativeFrom="margin">
              <wp:posOffset>2604770</wp:posOffset>
            </wp:positionH>
            <wp:positionV relativeFrom="paragraph">
              <wp:posOffset>1905</wp:posOffset>
            </wp:positionV>
            <wp:extent cx="914785" cy="9048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جامع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ة حسيب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ة بن بوعل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ي بالشل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ف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</w:t>
      </w:r>
      <w:r w:rsidRPr="00457F11">
        <w:rPr>
          <w:rFonts w:cs="MCS Nask S_I normal." w:hint="cs"/>
          <w:b/>
          <w:bCs/>
          <w:rtl/>
        </w:rPr>
        <w:t xml:space="preserve">  </w:t>
      </w:r>
      <w:r w:rsidRPr="00457F11">
        <w:rPr>
          <w:rFonts w:cs="MCS Nask S_I normal."/>
          <w:b/>
          <w:bCs/>
        </w:rPr>
        <w:t xml:space="preserve"> </w:t>
      </w:r>
      <w:r w:rsidRPr="00457F11">
        <w:rPr>
          <w:rFonts w:cs="MCS Nask S_I normal." w:hint="cs"/>
          <w:b/>
          <w:bCs/>
          <w:rtl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Hassiba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Benbouali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University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</w:rPr>
        <w:t>Chlef</w:t>
      </w:r>
      <w:proofErr w:type="spellEnd"/>
    </w:p>
    <w:p w:rsidR="00304A7F" w:rsidRPr="002452CD" w:rsidRDefault="00304A7F" w:rsidP="00304A7F">
      <w:pPr>
        <w:tabs>
          <w:tab w:val="right" w:pos="2976"/>
        </w:tabs>
        <w:bidi/>
        <w:spacing w:after="0" w:line="240" w:lineRule="auto"/>
        <w:ind w:left="-567" w:right="-567"/>
        <w:rPr>
          <w:rFonts w:ascii="Sakkal Majalla" w:hAnsi="Sakkal Majalla" w:cs="Sultan bold"/>
          <w:sz w:val="28"/>
          <w:szCs w:val="28"/>
          <w:rtl/>
          <w:lang w:bidi="ar-DZ"/>
        </w:rPr>
      </w:pPr>
      <w:proofErr w:type="gramStart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كلي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ة</w:t>
      </w:r>
      <w:proofErr w:type="gramEnd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 xml:space="preserve"> الحق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وق والعل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وم السياسي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ة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                        </w:t>
      </w:r>
      <w:proofErr w:type="spellStart"/>
      <w:r w:rsidRPr="0020454C">
        <w:rPr>
          <w:rFonts w:asciiTheme="majorBidi" w:hAnsiTheme="majorBidi" w:cstheme="majorBidi"/>
          <w:b/>
          <w:bCs/>
        </w:rPr>
        <w:t>Faculty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Law and </w:t>
      </w:r>
      <w:proofErr w:type="spellStart"/>
      <w:r w:rsidRPr="0020454C">
        <w:rPr>
          <w:rFonts w:asciiTheme="majorBidi" w:hAnsiTheme="majorBidi" w:cstheme="majorBidi"/>
          <w:b/>
          <w:bCs/>
        </w:rPr>
        <w:t>Political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Science</w:t>
      </w:r>
      <w:r w:rsidRPr="00457F11">
        <w:rPr>
          <w:rFonts w:hint="cs"/>
          <w:b/>
          <w:bCs/>
          <w:rtl/>
        </w:rPr>
        <w:t xml:space="preserve"> </w:t>
      </w:r>
    </w:p>
    <w:p w:rsidR="00304A7F" w:rsidRDefault="00304A7F" w:rsidP="00304A7F">
      <w:pPr>
        <w:bidi/>
        <w:spacing w:after="0" w:line="240" w:lineRule="auto"/>
        <w:ind w:left="-567" w:right="-567"/>
        <w:rPr>
          <w:rFonts w:ascii="Sakkal Majalla" w:hAnsi="Sakkal Majalla" w:cs="Sultan bold" w:hint="cs"/>
          <w:sz w:val="28"/>
          <w:szCs w:val="28"/>
          <w:rtl/>
        </w:rPr>
      </w:pP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نيابة العمادة للبحث العلمي وما بعد التدرج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</w:t>
      </w:r>
      <w:r w:rsidRPr="0020454C">
        <w:rPr>
          <w:rFonts w:asciiTheme="majorBidi" w:hAnsiTheme="majorBidi" w:cstheme="majorBidi"/>
          <w:b/>
          <w:bCs/>
        </w:rPr>
        <w:t xml:space="preserve"> V / D of post-graduation and </w:t>
      </w:r>
      <w:proofErr w:type="spellStart"/>
      <w:r w:rsidRPr="0020454C">
        <w:rPr>
          <w:rFonts w:asciiTheme="majorBidi" w:hAnsiTheme="majorBidi" w:cstheme="majorBidi"/>
          <w:b/>
          <w:bCs/>
        </w:rPr>
        <w:t>research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Scientific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</w:p>
    <w:p w:rsidR="00304A7F" w:rsidRDefault="00304A7F" w:rsidP="00304A7F">
      <w:pPr>
        <w:bidi/>
        <w:spacing w:line="240" w:lineRule="auto"/>
        <w:ind w:left="-567" w:right="-567"/>
        <w:rPr>
          <w:rFonts w:ascii="Sakkal Majalla" w:hAnsi="Sakkal Majalla" w:cs="Sultan bold" w:hint="cs"/>
          <w:sz w:val="28"/>
          <w:szCs w:val="28"/>
          <w:rtl/>
          <w:lang w:bidi="ar-DZ"/>
        </w:rPr>
      </w:pP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</w:t>
      </w:r>
      <w:proofErr w:type="gramStart"/>
      <w:r>
        <w:rPr>
          <w:rFonts w:ascii="Sakkal Majalla" w:hAnsi="Sakkal Majalla" w:cs="Sultan bold" w:hint="cs"/>
          <w:sz w:val="28"/>
          <w:szCs w:val="28"/>
          <w:rtl/>
          <w:lang w:bidi="ar-DZ"/>
        </w:rPr>
        <w:t>والعلاقات</w:t>
      </w:r>
      <w:proofErr w:type="gramEnd"/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الخارجية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  <w:r w:rsidRPr="0020454C">
        <w:rPr>
          <w:rFonts w:asciiTheme="majorBidi" w:hAnsiTheme="majorBidi" w:cstheme="majorBidi"/>
          <w:b/>
          <w:bCs/>
        </w:rPr>
        <w:t xml:space="preserve">and </w:t>
      </w:r>
      <w:proofErr w:type="spellStart"/>
      <w:r w:rsidRPr="0020454C">
        <w:rPr>
          <w:rFonts w:asciiTheme="majorBidi" w:hAnsiTheme="majorBidi" w:cstheme="majorBidi"/>
          <w:b/>
          <w:bCs/>
        </w:rPr>
        <w:t>external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relations</w:t>
      </w:r>
    </w:p>
    <w:p w:rsidR="00304A7F" w:rsidRPr="002452CD" w:rsidRDefault="00304A7F" w:rsidP="00304A7F">
      <w:pPr>
        <w:bidi/>
        <w:spacing w:after="0"/>
        <w:ind w:left="-567" w:right="-567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سلم تقييم ملحق القرار </w:t>
      </w:r>
      <w:proofErr w:type="gramStart"/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</w:t>
      </w:r>
      <w:proofErr w:type="gramEnd"/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255 المؤرخ في 25 فيفري 2024</w:t>
      </w:r>
      <w:bookmarkStart w:id="0" w:name="_GoBack"/>
      <w:bookmarkEnd w:id="0"/>
    </w:p>
    <w:p w:rsidR="00304A7F" w:rsidRPr="002452CD" w:rsidRDefault="00304A7F" w:rsidP="00304A7F">
      <w:pPr>
        <w:bidi/>
        <w:ind w:left="-567" w:right="-567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الذي يحدد معايير الانتقاء للقبول في برنامج تحسين المستوى في الخارج (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مخصص لفئة الموظفين الإداريين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والتقنيين</w:t>
      </w:r>
      <w:proofErr w:type="gramEnd"/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</w:p>
    <w:p w:rsidR="00304A7F" w:rsidRPr="002452CD" w:rsidRDefault="00304A7F" w:rsidP="00304A7F">
      <w:pPr>
        <w:bidi/>
        <w:spacing w:after="0"/>
        <w:ind w:left="-567" w:right="-56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اسم ولقب المترشح:        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تاريخ ومكان الميلاد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DE40DF" w:rsidRDefault="00304A7F" w:rsidP="00304A7F">
      <w:pPr>
        <w:bidi/>
        <w:ind w:left="-567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proofErr w:type="gramStart"/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شهادة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الجامعية التي وظف أو ترقى بها في الرتبة</w:t>
      </w: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5670"/>
        <w:gridCol w:w="1842"/>
        <w:gridCol w:w="1277"/>
      </w:tblGrid>
      <w:tr w:rsidR="00304A7F" w:rsidRPr="00304A7F" w:rsidTr="00304A7F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المعايير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/>
                <w:sz w:val="26"/>
                <w:szCs w:val="26"/>
                <w:rtl/>
              </w:rPr>
              <w:t>النقاط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/>
                <w:sz w:val="26"/>
                <w:szCs w:val="26"/>
                <w:rtl/>
              </w:rPr>
              <w:t>النقطة</w:t>
            </w:r>
          </w:p>
        </w:tc>
      </w:tr>
      <w:tr w:rsidR="00304A7F" w:rsidRPr="00304A7F" w:rsidTr="00304A7F">
        <w:tc>
          <w:tcPr>
            <w:tcW w:w="1701" w:type="dxa"/>
            <w:vMerge w:val="restart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</w:t>
            </w: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</w:t>
            </w:r>
            <w:proofErr w:type="gram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أعلى من 17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12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17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11.5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16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11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15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10.5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14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10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13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9.5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12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9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11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8.5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الرتبة 10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8 نقطة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التحكم في اللغة الأجنبية</w:t>
            </w: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التحكم في اللغة الأجنبية المستعملة في التكوين (مستوى </w:t>
            </w:r>
            <w:r w:rsidRPr="00304A7F">
              <w:rPr>
                <w:rFonts w:ascii="Sakkal Majalla" w:hAnsi="Sakkal Majalla" w:cs="Sakkal Majalla"/>
                <w:sz w:val="26"/>
                <w:szCs w:val="26"/>
              </w:rPr>
              <w:t>B1</w:t>
            </w: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على الأقل من مركز التعليم المكثف للغات)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4 نقاط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 w:val="restart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تقييم المسؤول المباشر</w:t>
            </w: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حضور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08 نقاط كحد </w:t>
            </w: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أقصى</w:t>
            </w:r>
            <w:proofErr w:type="gramEnd"/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304A7F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كفاءة</w:t>
            </w:r>
            <w:proofErr w:type="gram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في العمل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10 نقاط كحد </w:t>
            </w: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أقصى</w:t>
            </w:r>
            <w:proofErr w:type="gramEnd"/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5874A3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مبادرة</w:t>
            </w:r>
          </w:p>
        </w:tc>
        <w:tc>
          <w:tcPr>
            <w:tcW w:w="1842" w:type="dxa"/>
          </w:tcPr>
          <w:p w:rsidR="00304A7F" w:rsidRPr="00304A7F" w:rsidRDefault="00304A7F">
            <w:pPr>
              <w:rPr>
                <w:sz w:val="26"/>
                <w:szCs w:val="26"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08 نقاط كحد </w:t>
            </w: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أقصى</w:t>
            </w:r>
            <w:proofErr w:type="gramEnd"/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5874A3">
        <w:tc>
          <w:tcPr>
            <w:tcW w:w="1701" w:type="dxa"/>
            <w:vMerge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670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تفرغ</w:t>
            </w:r>
          </w:p>
        </w:tc>
        <w:tc>
          <w:tcPr>
            <w:tcW w:w="1842" w:type="dxa"/>
          </w:tcPr>
          <w:p w:rsidR="00304A7F" w:rsidRPr="00304A7F" w:rsidRDefault="00304A7F">
            <w:pPr>
              <w:rPr>
                <w:sz w:val="26"/>
                <w:szCs w:val="26"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08 نقاط كحد </w:t>
            </w: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أقصى</w:t>
            </w:r>
            <w:proofErr w:type="gramEnd"/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C322B2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المساهمة في تجسيد آليات </w:t>
            </w:r>
            <w:r w:rsidRPr="00304A7F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القرار الوزاري</w:t>
            </w: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رقم 1275 المؤرخ في 27 سبتمبر 2022 الذي يحدد كيفيات إعداد مذكرة تخرج للحصول على شهادة جامعية مؤسسة ناشئة، مؤسسة مصغرة، مؤسسة فرعية/ براءة اختراع من قبل طلبة مؤسسات التعليم العالي</w:t>
            </w: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5 نقاط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1D642A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شهادة تثبت العمل لدى هيئات المرافقة (الواجهات الجامعية: مركز تطوير </w:t>
            </w:r>
            <w:proofErr w:type="spell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المقاولاتية</w:t>
            </w:r>
            <w:proofErr w:type="spell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، مركز المسارات المهنية </w:t>
            </w:r>
            <w:r w:rsidRPr="00304A7F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(CDC)</w:t>
            </w: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، نادي البحث عن شغل،  حاضنة أعمال، مركز الدعم التكنولوجي والابتكار </w:t>
            </w:r>
            <w:r w:rsidRPr="00304A7F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(CATI)</w:t>
            </w: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، دار الذكاء الاصطناعي، مركز الربط بين المؤسسة والجامعة،...إلخ)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5 نقاط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D74833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عدد </w:t>
            </w:r>
            <w:proofErr w:type="spell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الاستفادات</w:t>
            </w:r>
            <w:proofErr w:type="spell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من التربصات المنجزة بالخارج خلال الست سنوات السابقة</w:t>
            </w:r>
          </w:p>
        </w:tc>
        <w:tc>
          <w:tcPr>
            <w:tcW w:w="1842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ناقص</w:t>
            </w:r>
            <w:proofErr w:type="gram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5 نقاط / لكل تربص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9C0BCB">
        <w:tc>
          <w:tcPr>
            <w:tcW w:w="9213" w:type="dxa"/>
            <w:gridSpan w:val="3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مجمــــــــــــــــــــــــــــــــــــــــــــــــــــــــــــــــــــــــــــوع</w:t>
            </w:r>
            <w:proofErr w:type="gramEnd"/>
            <w:r w:rsidRPr="00304A7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النقــــــــــــــــــــــــــــــــــــــــــــــــــــــــــــــــــــــاط</w:t>
            </w:r>
          </w:p>
        </w:tc>
        <w:tc>
          <w:tcPr>
            <w:tcW w:w="1277" w:type="dxa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04A7F" w:rsidRPr="00304A7F" w:rsidTr="008F15EE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ترتيب</w:t>
            </w:r>
            <w:proofErr w:type="gram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الموظف</w:t>
            </w:r>
          </w:p>
        </w:tc>
        <w:tc>
          <w:tcPr>
            <w:tcW w:w="3119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عدد الموظفين المترشحين/.......</w:t>
            </w:r>
          </w:p>
        </w:tc>
      </w:tr>
      <w:tr w:rsidR="00304A7F" w:rsidRPr="00304A7F" w:rsidTr="00201935">
        <w:tc>
          <w:tcPr>
            <w:tcW w:w="7371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رأي المسؤول المباشر</w:t>
            </w:r>
          </w:p>
        </w:tc>
        <w:tc>
          <w:tcPr>
            <w:tcW w:w="3119" w:type="dxa"/>
            <w:gridSpan w:val="2"/>
            <w:vAlign w:val="center"/>
          </w:tcPr>
          <w:p w:rsidR="00304A7F" w:rsidRPr="00304A7F" w:rsidRDefault="00304A7F" w:rsidP="00304A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>مقبول</w:t>
            </w:r>
            <w:proofErr w:type="gramEnd"/>
            <w:r w:rsidRPr="00304A7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/ مرفوض</w:t>
            </w:r>
          </w:p>
        </w:tc>
      </w:tr>
    </w:tbl>
    <w:p w:rsidR="00304A7F" w:rsidRDefault="00304A7F" w:rsidP="00304A7F">
      <w:pPr>
        <w:bidi/>
      </w:pPr>
    </w:p>
    <w:sectPr w:rsidR="00304A7F" w:rsidSect="00304A7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7F"/>
    <w:rsid w:val="00304A7F"/>
    <w:rsid w:val="00A85FA1"/>
    <w:rsid w:val="00D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225A-54AB-4115-A494-93672FA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2025-02-23T12:18:00Z</dcterms:created>
  <dcterms:modified xsi:type="dcterms:W3CDTF">2025-02-23T12:36:00Z</dcterms:modified>
</cp:coreProperties>
</file>